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DC" w:rsidRPr="002F37A0" w:rsidRDefault="001200DC" w:rsidP="00D82854">
      <w:pPr>
        <w:spacing w:after="0" w:line="240" w:lineRule="auto"/>
        <w:jc w:val="right"/>
        <w:rPr>
          <w:rFonts w:ascii="Microsoft Sans Serif" w:eastAsia="Meiryo" w:hAnsi="Microsoft Sans Serif" w:cs="Microsoft Sans Serif"/>
          <w:sz w:val="20"/>
          <w:szCs w:val="20"/>
        </w:rPr>
      </w:pPr>
      <w:bookmarkStart w:id="0" w:name="_GoBack"/>
      <w:bookmarkEnd w:id="0"/>
      <w:r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Warszawa, 28 lutego 2019 </w:t>
      </w:r>
      <w:r w:rsidR="00DC4F0B" w:rsidRPr="002F37A0">
        <w:rPr>
          <w:rFonts w:ascii="Microsoft Sans Serif" w:eastAsia="Meiryo" w:hAnsi="Microsoft Sans Serif" w:cs="Microsoft Sans Serif"/>
          <w:sz w:val="20"/>
          <w:szCs w:val="20"/>
        </w:rPr>
        <w:t>r.</w:t>
      </w:r>
    </w:p>
    <w:p w:rsidR="00DC4F0B" w:rsidRPr="002F37A0" w:rsidRDefault="00DC4F0B" w:rsidP="00D82854">
      <w:pPr>
        <w:spacing w:after="0" w:line="240" w:lineRule="auto"/>
        <w:jc w:val="right"/>
        <w:rPr>
          <w:rFonts w:ascii="Microsoft Sans Serif" w:eastAsia="Meiryo" w:hAnsi="Microsoft Sans Serif" w:cs="Microsoft Sans Serif"/>
          <w:sz w:val="20"/>
          <w:szCs w:val="20"/>
        </w:rPr>
      </w:pPr>
    </w:p>
    <w:p w:rsidR="00D82854" w:rsidRPr="002F37A0" w:rsidRDefault="00D82854" w:rsidP="00D82854">
      <w:pPr>
        <w:spacing w:after="0" w:line="240" w:lineRule="auto"/>
        <w:rPr>
          <w:rFonts w:ascii="Microsoft Sans Serif" w:eastAsia="Meiryo" w:hAnsi="Microsoft Sans Serif" w:cs="Microsoft Sans Serif"/>
          <w:sz w:val="28"/>
          <w:szCs w:val="28"/>
        </w:rPr>
      </w:pPr>
    </w:p>
    <w:p w:rsidR="00943139" w:rsidRPr="002F37A0" w:rsidRDefault="00B010DB" w:rsidP="00D82854">
      <w:pPr>
        <w:spacing w:after="0" w:line="240" w:lineRule="auto"/>
        <w:rPr>
          <w:rFonts w:ascii="Microsoft Sans Serif" w:eastAsia="Meiryo" w:hAnsi="Microsoft Sans Serif" w:cs="Microsoft Sans Serif"/>
          <w:sz w:val="28"/>
          <w:szCs w:val="28"/>
        </w:rPr>
      </w:pPr>
      <w:r w:rsidRPr="002F37A0">
        <w:rPr>
          <w:rFonts w:ascii="Microsoft Sans Serif" w:eastAsia="Meiryo" w:hAnsi="Microsoft Sans Serif" w:cs="Microsoft Sans Serif"/>
          <w:sz w:val="28"/>
          <w:szCs w:val="28"/>
        </w:rPr>
        <w:t>Brak odpowiedzialności cywilnej uczestnika</w:t>
      </w:r>
      <w:r w:rsidR="00C50E0F" w:rsidRPr="002F37A0">
        <w:rPr>
          <w:rFonts w:ascii="Microsoft Sans Serif" w:eastAsia="Meiryo" w:hAnsi="Microsoft Sans Serif" w:cs="Microsoft Sans Serif"/>
          <w:sz w:val="28"/>
          <w:szCs w:val="28"/>
        </w:rPr>
        <w:t xml:space="preserve"> legalnego strajku </w:t>
      </w:r>
    </w:p>
    <w:p w:rsidR="00D77B14" w:rsidRPr="002F37A0" w:rsidRDefault="00D77B14" w:rsidP="00D82854">
      <w:pPr>
        <w:spacing w:after="0" w:line="240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</w:p>
    <w:p w:rsidR="00DC4F0B" w:rsidRPr="002F37A0" w:rsidRDefault="00DC4F0B" w:rsidP="00D82854">
      <w:pPr>
        <w:spacing w:after="0" w:line="240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</w:p>
    <w:p w:rsidR="00833B05" w:rsidRPr="002F37A0" w:rsidRDefault="00D77B14" w:rsidP="00D82854">
      <w:pPr>
        <w:spacing w:after="0" w:line="240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</w:rPr>
        <w:t>W związku z</w:t>
      </w:r>
      <w:r w:rsidR="002E5516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wszczęciem przez Związek Nauczycielstwa Polskiego</w:t>
      </w:r>
      <w:r w:rsidR="00833B05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sporu zbiorowego i wystąpieniem </w:t>
      </w:r>
      <w:r w:rsidR="00CC71BC" w:rsidRPr="002F37A0">
        <w:rPr>
          <w:rFonts w:ascii="Microsoft Sans Serif" w:eastAsia="Meiryo" w:hAnsi="Microsoft Sans Serif" w:cs="Microsoft Sans Serif"/>
          <w:sz w:val="20"/>
          <w:szCs w:val="20"/>
        </w:rPr>
        <w:t>możliwości</w:t>
      </w:r>
      <w:r w:rsidR="00833B05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</w:t>
      </w:r>
      <w:r w:rsidR="002F37A0">
        <w:rPr>
          <w:rFonts w:ascii="Microsoft Sans Serif" w:eastAsia="Meiryo" w:hAnsi="Microsoft Sans Serif" w:cs="Microsoft Sans Serif"/>
          <w:sz w:val="20"/>
          <w:szCs w:val="20"/>
        </w:rPr>
        <w:t>przeprowadzenia strajku,</w:t>
      </w:r>
      <w:r w:rsidR="002F6E69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</w:t>
      </w:r>
      <w:r w:rsidR="00CC71B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coraz częściej </w:t>
      </w:r>
      <w:r w:rsidR="002F6E69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w obiegu medialnym pojawiają się informacje o </w:t>
      </w:r>
      <w:r w:rsidR="00CC71B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ewentualności </w:t>
      </w:r>
      <w:r w:rsidR="002F6E69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pociągania </w:t>
      </w:r>
      <w:r w:rsidR="00CC71B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do odpowiedzialności cywilnej </w:t>
      </w:r>
      <w:r w:rsidR="002F6E69" w:rsidRPr="002F37A0">
        <w:rPr>
          <w:rFonts w:ascii="Microsoft Sans Serif" w:eastAsia="Meiryo" w:hAnsi="Microsoft Sans Serif" w:cs="Microsoft Sans Serif"/>
          <w:sz w:val="20"/>
          <w:szCs w:val="20"/>
        </w:rPr>
        <w:t>nauczycieli biorących udział w</w:t>
      </w:r>
      <w:r w:rsidR="00CC71B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</w:t>
      </w:r>
      <w:r w:rsidR="002F6E69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strajku. </w:t>
      </w:r>
    </w:p>
    <w:p w:rsidR="004D0F40" w:rsidRPr="002F37A0" w:rsidRDefault="004D0F40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</w:p>
    <w:p w:rsidR="004D0F40" w:rsidRPr="002F37A0" w:rsidRDefault="00FE38A3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W szczególności chodzi tu o sugestie dotyczące możliwości kierowania przez rodziców pozwów sądowych przeciwko nauczycielom, którzy powstrzymają się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od wykonywania pracy w celu rozwiązania sporu dotyczącego interesów</w:t>
      </w:r>
      <w:r w:rsidR="0073272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pracowniczych. </w:t>
      </w:r>
    </w:p>
    <w:p w:rsidR="00FE38A3" w:rsidRPr="002F37A0" w:rsidRDefault="00FE38A3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</w:rPr>
      </w:pPr>
    </w:p>
    <w:p w:rsidR="00732721" w:rsidRPr="002F37A0" w:rsidRDefault="00943139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b/>
          <w:sz w:val="20"/>
          <w:szCs w:val="20"/>
        </w:rPr>
      </w:pPr>
      <w:r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Kategorycznie należy stwierdzić, że </w:t>
      </w:r>
      <w:r w:rsidR="00732721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w obowiązującym porządku prawnym nie ma podstawy normatywnej umożliwiającej pozywanie pracowników do cywilnej </w:t>
      </w:r>
      <w:r w:rsidR="009F6E6F" w:rsidRPr="002F37A0">
        <w:rPr>
          <w:rFonts w:ascii="Microsoft Sans Serif" w:eastAsia="Meiryo" w:hAnsi="Microsoft Sans Serif" w:cs="Microsoft Sans Serif"/>
          <w:b/>
          <w:sz w:val="20"/>
          <w:szCs w:val="20"/>
        </w:rPr>
        <w:t>odpowiedzialności odszkodowawczej w związku z ich ud</w:t>
      </w:r>
      <w:r w:rsidR="00560642" w:rsidRPr="002F37A0">
        <w:rPr>
          <w:rFonts w:ascii="Microsoft Sans Serif" w:eastAsia="Meiryo" w:hAnsi="Microsoft Sans Serif" w:cs="Microsoft Sans Serif"/>
          <w:b/>
          <w:sz w:val="20"/>
          <w:szCs w:val="20"/>
        </w:rPr>
        <w:t>ziałem w strajku.</w:t>
      </w:r>
    </w:p>
    <w:p w:rsidR="00732721" w:rsidRPr="002F37A0" w:rsidRDefault="00732721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b/>
          <w:sz w:val="20"/>
          <w:szCs w:val="20"/>
        </w:rPr>
      </w:pPr>
    </w:p>
    <w:p w:rsidR="00BA3441" w:rsidRPr="002F37A0" w:rsidRDefault="00560642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b/>
          <w:sz w:val="20"/>
          <w:szCs w:val="20"/>
        </w:rPr>
      </w:pPr>
      <w:r w:rsidRPr="002F37A0">
        <w:rPr>
          <w:rFonts w:ascii="Microsoft Sans Serif" w:eastAsia="Meiryo" w:hAnsi="Microsoft Sans Serif" w:cs="Microsoft Sans Serif"/>
          <w:b/>
          <w:sz w:val="20"/>
          <w:szCs w:val="20"/>
        </w:rPr>
        <w:t>N</w:t>
      </w:r>
      <w:r w:rsidR="00943139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auczyciele biorący udział w strajku nie ponoszą </w:t>
      </w:r>
      <w:r w:rsidR="000274C4" w:rsidRPr="002F37A0">
        <w:rPr>
          <w:rFonts w:ascii="Microsoft Sans Serif" w:eastAsia="Meiryo" w:hAnsi="Microsoft Sans Serif" w:cs="Microsoft Sans Serif"/>
          <w:b/>
          <w:sz w:val="20"/>
          <w:szCs w:val="20"/>
        </w:rPr>
        <w:t>ża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</w:rPr>
        <w:t>dnej odpowiedzialności cywilnej.</w:t>
      </w:r>
    </w:p>
    <w:p w:rsidR="00560642" w:rsidRPr="002F37A0" w:rsidRDefault="00560642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b/>
          <w:sz w:val="20"/>
          <w:szCs w:val="20"/>
        </w:rPr>
      </w:pPr>
    </w:p>
    <w:p w:rsidR="00A16003" w:rsidRPr="002F37A0" w:rsidRDefault="006131CC" w:rsidP="00152FF0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  <w:lang w:eastAsia="pl-PL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</w:rPr>
        <w:t>Należy więc podnieść w tym miejscu, że k</w:t>
      </w:r>
      <w:r w:rsidR="00C07888" w:rsidRPr="002F37A0">
        <w:rPr>
          <w:rFonts w:ascii="Microsoft Sans Serif" w:eastAsia="Meiryo" w:hAnsi="Microsoft Sans Serif" w:cs="Microsoft Sans Serif"/>
          <w:sz w:val="20"/>
          <w:szCs w:val="20"/>
        </w:rPr>
        <w:t>ażdy, kto formułuje sugestię o możliwości pociągania nauczycieli do cywilnej odpowiedzialności odszkodowawczej w związku z ich udziałem w strajku,</w:t>
      </w:r>
      <w:r w:rsidR="00C07888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 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wywiera bezprawną presję na nauczycieli</w:t>
      </w:r>
      <w:r w:rsidR="00FE7C6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, a także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FE7C67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przeszkadza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we </w:t>
      </w:r>
      <w:r w:rsidR="003F25E9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wszczęciu i 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prowadzeniu sporu zbiorowego</w:t>
      </w:r>
      <w:r w:rsidR="003F25E9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. </w:t>
      </w:r>
    </w:p>
    <w:p w:rsidR="00A16003" w:rsidRPr="002F37A0" w:rsidRDefault="00A16003" w:rsidP="00152FF0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  <w:lang w:eastAsia="pl-PL"/>
        </w:rPr>
      </w:pPr>
    </w:p>
    <w:p w:rsidR="00C07888" w:rsidRPr="002F37A0" w:rsidRDefault="003F25E9" w:rsidP="00152FF0">
      <w:pPr>
        <w:spacing w:after="0" w:line="276" w:lineRule="auto"/>
        <w:jc w:val="both"/>
        <w:rPr>
          <w:rFonts w:ascii="Microsoft Sans Serif" w:eastAsia="Meiryo" w:hAnsi="Microsoft Sans Serif" w:cs="Microsoft Sans Serif"/>
          <w:b/>
          <w:sz w:val="20"/>
          <w:szCs w:val="20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Jest to działanie bezprawne,</w:t>
      </w:r>
      <w:r w:rsidR="00FE7C67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skutkujące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odpowiedzialnością karną</w:t>
      </w:r>
      <w:r w:rsidR="00FE7C6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  <w:r w:rsidR="002F55D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</w:p>
    <w:p w:rsidR="00560642" w:rsidRPr="002F37A0" w:rsidRDefault="00560642" w:rsidP="00152FF0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4"/>
          <w:szCs w:val="24"/>
        </w:rPr>
      </w:pPr>
    </w:p>
    <w:p w:rsidR="00F0457B" w:rsidRPr="002F37A0" w:rsidRDefault="00D77B14" w:rsidP="00152FF0">
      <w:pPr>
        <w:spacing w:after="0" w:line="276" w:lineRule="auto"/>
        <w:jc w:val="center"/>
        <w:rPr>
          <w:rFonts w:ascii="Microsoft Sans Serif" w:eastAsia="Meiryo" w:hAnsi="Microsoft Sans Serif" w:cs="Microsoft Sans Serif"/>
          <w:sz w:val="24"/>
          <w:szCs w:val="24"/>
        </w:rPr>
      </w:pPr>
      <w:r w:rsidRPr="002F37A0">
        <w:rPr>
          <w:rFonts w:ascii="Microsoft Sans Serif" w:eastAsia="Meiryo" w:hAnsi="Microsoft Sans Serif" w:cs="Microsoft Sans Serif"/>
          <w:sz w:val="24"/>
          <w:szCs w:val="24"/>
        </w:rPr>
        <w:t>Uzasadnienie</w:t>
      </w:r>
    </w:p>
    <w:p w:rsidR="00D77B14" w:rsidRPr="002F37A0" w:rsidRDefault="00D77B14" w:rsidP="00152FF0">
      <w:pPr>
        <w:spacing w:after="0" w:line="276" w:lineRule="auto"/>
        <w:jc w:val="center"/>
        <w:rPr>
          <w:rFonts w:ascii="Microsoft Sans Serif" w:eastAsia="Meiryo" w:hAnsi="Microsoft Sans Serif" w:cs="Microsoft Sans Serif"/>
          <w:b/>
          <w:sz w:val="20"/>
          <w:szCs w:val="20"/>
        </w:rPr>
      </w:pPr>
    </w:p>
    <w:p w:rsidR="002F37A0" w:rsidRDefault="00257D11" w:rsidP="00165D6D">
      <w:pPr>
        <w:pStyle w:val="Akapitzlist"/>
        <w:numPr>
          <w:ilvl w:val="0"/>
          <w:numId w:val="9"/>
        </w:numPr>
        <w:spacing w:after="0" w:line="276" w:lineRule="auto"/>
        <w:ind w:left="425" w:hanging="357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Prawo do strajku jest jedną z podstawowych </w:t>
      </w:r>
      <w:r w:rsidR="00C70B54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wolności zagwarantowanych</w:t>
      </w:r>
      <w:r w:rsidR="0086313A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tak w prawie międzynarodowym, jak i w porządku krajowym. </w:t>
      </w:r>
    </w:p>
    <w:p w:rsidR="002F37A0" w:rsidRDefault="002F37A0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2F37A0" w:rsidRDefault="00257D11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shd w:val="clear" w:color="auto" w:fill="FFFFFF"/>
          <w:lang w:eastAsia="pl-PL"/>
        </w:rPr>
        <w:t>W treści art. 11</w:t>
      </w: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lang w:eastAsia="pl-PL"/>
        </w:rPr>
        <w:t xml:space="preserve"> ust. 1 </w:t>
      </w:r>
      <w:r w:rsidRPr="002F37A0">
        <w:rPr>
          <w:rFonts w:ascii="Microsoft Sans Serif" w:eastAsia="Meiryo" w:hAnsi="Microsoft Sans Serif" w:cs="Microsoft Sans Serif"/>
          <w:bCs/>
          <w:i/>
          <w:color w:val="333333"/>
          <w:sz w:val="20"/>
          <w:szCs w:val="20"/>
          <w:lang w:eastAsia="pl-PL"/>
        </w:rPr>
        <w:t xml:space="preserve">Konwencji o ochronie praw człowieka i podstawowych wolności </w:t>
      </w: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lang w:eastAsia="pl-PL"/>
        </w:rPr>
        <w:t xml:space="preserve">z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>dnia 4 listopada 1950 r.</w:t>
      </w:r>
      <w:r w:rsidRPr="002F37A0">
        <w:rPr>
          <w:rFonts w:ascii="Microsoft Sans Serif" w:eastAsia="Meiryo" w:hAnsi="Microsoft Sans Serif" w:cs="Microsoft Sans Serif"/>
          <w:color w:val="1B1B1B"/>
          <w:sz w:val="20"/>
          <w:szCs w:val="20"/>
          <w:lang w:eastAsia="pl-PL"/>
        </w:rPr>
        <w:t xml:space="preserve"> (Dz.U. z 1993 r. nr 61 . poz. 284) zagwarantowano </w:t>
      </w: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lang w:eastAsia="pl-PL"/>
        </w:rPr>
        <w:t xml:space="preserve">wolność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 xml:space="preserve">tworzenia związków zawodowych i przystępowania do nich dla ochrony swoich interesów.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Artykuł ten zabezpiecza swobodę ochrony interesów członków związku</w:t>
      </w:r>
      <w:r w:rsidR="00A16003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zawodowego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za pomocą akcji związkowych. </w:t>
      </w:r>
    </w:p>
    <w:p w:rsidR="002F37A0" w:rsidRDefault="002F37A0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</w:p>
    <w:p w:rsidR="002F37A0" w:rsidRDefault="00257D11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</w:pP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Jednym z najważniejszych środków pozwalających związkom zawodowym skutecznie pełnić tę funkcję jest prawo do strajku</w:t>
      </w:r>
      <w:r w:rsidRPr="002F37A0">
        <w:rPr>
          <w:rStyle w:val="Odwoanieprzypisudolnego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footnoteReference w:id="1"/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>.</w:t>
      </w:r>
    </w:p>
    <w:p w:rsidR="002F37A0" w:rsidRDefault="002F37A0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</w:pPr>
    </w:p>
    <w:p w:rsidR="002F37A0" w:rsidRDefault="00257D11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</w:pP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shd w:val="clear" w:color="auto" w:fill="FFFFFF"/>
          <w:lang w:eastAsia="pl-PL"/>
        </w:rPr>
        <w:t xml:space="preserve">Zgodnie z treścią art. 6 pkt 4 </w:t>
      </w:r>
      <w:r w:rsidRPr="002F37A0">
        <w:rPr>
          <w:rFonts w:ascii="Microsoft Sans Serif" w:eastAsia="Meiryo" w:hAnsi="Microsoft Sans Serif" w:cs="Microsoft Sans Serif"/>
          <w:bCs/>
          <w:i/>
          <w:color w:val="333333"/>
          <w:sz w:val="20"/>
          <w:szCs w:val="20"/>
          <w:shd w:val="clear" w:color="auto" w:fill="FFFFFF"/>
          <w:lang w:eastAsia="pl-PL"/>
        </w:rPr>
        <w:t>Europejskiej Karty Społecznej</w:t>
      </w:r>
      <w:r w:rsidRPr="002F37A0">
        <w:rPr>
          <w:rFonts w:ascii="Microsoft Sans Serif" w:eastAsia="Meiryo" w:hAnsi="Microsoft Sans Serif" w:cs="Microsoft Sans Serif"/>
          <w:bCs/>
          <w:color w:val="333333"/>
          <w:sz w:val="20"/>
          <w:szCs w:val="20"/>
          <w:shd w:val="clear" w:color="auto" w:fill="FFFFFF"/>
          <w:lang w:eastAsia="pl-PL"/>
        </w:rPr>
        <w:t xml:space="preserve"> z</w:t>
      </w:r>
      <w:r w:rsidRPr="002F37A0">
        <w:rPr>
          <w:rFonts w:ascii="Microsoft Sans Serif" w:eastAsia="Meiryo" w:hAnsi="Microsoft Sans Serif" w:cs="Microsoft Sans Serif"/>
          <w:b/>
          <w:bCs/>
          <w:color w:val="333333"/>
          <w:sz w:val="20"/>
          <w:szCs w:val="20"/>
          <w:shd w:val="clear" w:color="auto" w:fill="FFFFFF"/>
          <w:lang w:eastAsia="pl-PL"/>
        </w:rPr>
        <w:t xml:space="preserve">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>dnia 18 października 1961 r.</w:t>
      </w:r>
      <w:r w:rsidRPr="002F37A0">
        <w:rPr>
          <w:rFonts w:ascii="Microsoft Sans Serif" w:eastAsia="Meiryo" w:hAnsi="Microsoft Sans Serif" w:cs="Microsoft Sans Serif"/>
          <w:color w:val="1B1B1B"/>
          <w:sz w:val="20"/>
          <w:szCs w:val="20"/>
          <w:lang w:eastAsia="pl-PL"/>
        </w:rPr>
        <w:t xml:space="preserve"> (Dz.U. z 1999 r. nr 8 poz. 67) w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 xml:space="preserve"> celu zapewnienia skutecznego wykonywania prawa do rokowań zbiorowych uznano prawo pracowników do zbiorowego działania w przypadku konfliktu interesów - włączając w to prawo do strajku.</w:t>
      </w:r>
    </w:p>
    <w:p w:rsidR="002F37A0" w:rsidRDefault="002F37A0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</w:pPr>
    </w:p>
    <w:p w:rsidR="00340474" w:rsidRPr="002F37A0" w:rsidRDefault="00340474" w:rsidP="002F37A0">
      <w:pPr>
        <w:pStyle w:val="Akapitzlist"/>
        <w:spacing w:after="0" w:line="276" w:lineRule="auto"/>
        <w:ind w:left="425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 xml:space="preserve">Sąd Najwyższy potwierdził </w:t>
      </w:r>
      <w:r w:rsidR="0061734D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>aktualność powyższych regulacji na gruncie prawa krajowego stwierdzając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lang w:eastAsia="pl-PL"/>
        </w:rPr>
        <w:t xml:space="preserve">, że 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lang w:eastAsia="pl-PL"/>
        </w:rPr>
        <w:t>p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>rawo do strajku należy do podstawowych praw człowieka oraz wolności związkowych</w:t>
      </w:r>
      <w:r w:rsidRPr="002F37A0">
        <w:rPr>
          <w:rStyle w:val="Odwoanieprzypisudolnego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footnoteReference w:id="2"/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. </w:t>
      </w:r>
    </w:p>
    <w:p w:rsidR="003E5C7A" w:rsidRPr="002F37A0" w:rsidRDefault="003E5C7A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</w:pPr>
    </w:p>
    <w:p w:rsidR="002F37A0" w:rsidRDefault="00731DE2" w:rsidP="00165D6D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Z istoty podstawowego zadania związku zawodowego, którym jest obrona praw i interesów ludzi pracy, określonego w </w:t>
      </w:r>
      <w:hyperlink r:id="rId8" w:anchor="/document/16794195?unitId=art(1)ust(1)&amp;cm=DOCUMENT" w:history="1">
        <w:r w:rsidRPr="002F37A0">
          <w:rPr>
            <w:rStyle w:val="Hipercze"/>
            <w:rFonts w:ascii="Microsoft Sans Serif" w:eastAsia="Meiryo" w:hAnsi="Microsoft Sans Serif" w:cs="Microsoft Sans Serif"/>
            <w:color w:val="auto"/>
            <w:sz w:val="20"/>
            <w:szCs w:val="20"/>
            <w:u w:val="none"/>
            <w:shd w:val="clear" w:color="auto" w:fill="FFFFFF"/>
          </w:rPr>
          <w:t>art. 1 ust. 1</w:t>
        </w:r>
      </w:hyperlink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 ustawy z dnia 23 maja 1991 r. </w:t>
      </w:r>
      <w:r w:rsidRPr="002F37A0">
        <w:rPr>
          <w:rFonts w:ascii="Microsoft Sans Serif" w:eastAsia="Meiryo" w:hAnsi="Microsoft Sans Serif" w:cs="Microsoft Sans Serif"/>
          <w:i/>
          <w:sz w:val="20"/>
          <w:szCs w:val="20"/>
          <w:shd w:val="clear" w:color="auto" w:fill="FFFFFF"/>
        </w:rPr>
        <w:t>o związkach zawodowych</w:t>
      </w:r>
      <w:r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(tekst </w:t>
      </w:r>
      <w:r w:rsidRPr="002F37A0">
        <w:rPr>
          <w:rFonts w:ascii="Microsoft Sans Serif" w:eastAsia="Meiryo" w:hAnsi="Microsoft Sans Serif" w:cs="Microsoft Sans Serif"/>
          <w:sz w:val="20"/>
          <w:szCs w:val="20"/>
        </w:rPr>
        <w:lastRenderedPageBreak/>
        <w:t xml:space="preserve">jedn.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Dz.U. z 2019 r. poz. 263 z późn.zm.) </w:t>
      </w:r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– dalej </w:t>
      </w:r>
      <w:proofErr w:type="spellStart"/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u.z.z</w:t>
      </w:r>
      <w:proofErr w:type="spellEnd"/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.,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wynika, że zadaniem związku zawodowego jest obrona interesów pracowników</w:t>
      </w:r>
      <w:r w:rsidR="007E3EE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2F37A0" w:rsidRDefault="00B90F58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Według</w:t>
      </w:r>
      <w:r w:rsidR="0086758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wykładni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art. 1 ust. 1 </w:t>
      </w:r>
      <w:proofErr w:type="spellStart"/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u.z.z</w:t>
      </w:r>
      <w:proofErr w:type="spellEnd"/>
      <w:r w:rsidR="00FD6C0D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  <w:r w:rsidR="005E670B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dokonanej przez Sąd Najwyższy -</w:t>
      </w:r>
      <w:r w:rsidR="00731DE2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zorganizowanie, przeprowadzenie i kierowanie strajkiem jest typową działalnością związkową</w:t>
      </w:r>
      <w:r w:rsidR="003C731B" w:rsidRPr="002F37A0">
        <w:rPr>
          <w:rStyle w:val="Odwoanieprzypisudolnego"/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footnoteReference w:id="3"/>
      </w:r>
      <w:r w:rsidR="00731DE2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. </w:t>
      </w:r>
      <w:r w:rsidR="002C21D0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Zdaniem Sądu Najwyższego </w:t>
      </w:r>
      <w:r w:rsidR="005E670B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wszelkie </w:t>
      </w:r>
      <w:r w:rsidR="00340474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wątpliwości związane z wykładnią przepisów regulujących strajk powinny być</w:t>
      </w:r>
      <w:r w:rsidR="005E670B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</w:t>
      </w:r>
      <w:r w:rsidR="00340474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rozstrzygane na rzecz, a nie przeciwko wolności strajku, zgodnie z zasadą </w:t>
      </w:r>
      <w:r w:rsidR="00340474" w:rsidRPr="002F37A0"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  <w:t xml:space="preserve">in dubio pro </w:t>
      </w:r>
      <w:proofErr w:type="spellStart"/>
      <w:r w:rsidR="00340474" w:rsidRPr="002F37A0"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  <w:t>libertate</w:t>
      </w:r>
      <w:proofErr w:type="spellEnd"/>
      <w:r w:rsidR="00340474" w:rsidRPr="002F37A0">
        <w:rPr>
          <w:rStyle w:val="Odwoanieprzypisudolnego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footnoteReference w:id="4"/>
      </w:r>
      <w:r w:rsidR="00340474" w:rsidRPr="002F37A0"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  <w:t>.</w:t>
      </w:r>
      <w:r w:rsidR="005E670B" w:rsidRPr="002F37A0"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  <w:t xml:space="preserve">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i/>
          <w:color w:val="333333"/>
          <w:sz w:val="20"/>
          <w:szCs w:val="20"/>
          <w:shd w:val="clear" w:color="auto" w:fill="FFFFFF"/>
        </w:rPr>
      </w:pPr>
    </w:p>
    <w:p w:rsidR="002F37A0" w:rsidRDefault="00BE59F2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Sąd Najwyższy podniósł jednocześnie, że związek związkowy nie musi stawiać na pierwszym planie interesu pracodawcy</w:t>
      </w:r>
      <w:r w:rsidRPr="002F37A0">
        <w:rPr>
          <w:rStyle w:val="Odwoanieprzypisudolnego"/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footnoteReference w:id="5"/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. </w:t>
      </w:r>
      <w:r w:rsidR="005E670B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Tym bardziej więc nie można </w:t>
      </w:r>
      <w:r w:rsidR="00EF2DA7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stawiać interesu pracodawcy ponad prawem do prowadzenia zgodnego z prawem sporu zbiorowego, włączając w to prawo do strajku. </w:t>
      </w:r>
      <w:r w:rsidR="005E670B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</w:t>
      </w:r>
    </w:p>
    <w:p w:rsidR="002F37A0" w:rsidRPr="002F37A0" w:rsidRDefault="002F37A0" w:rsidP="002F37A0">
      <w:pPr>
        <w:pStyle w:val="Akapitzlist"/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2F37A0" w:rsidRPr="002F37A0" w:rsidRDefault="00BE2C32" w:rsidP="002F37A0">
      <w:pPr>
        <w:pStyle w:val="Akapitzlist"/>
        <w:numPr>
          <w:ilvl w:val="0"/>
          <w:numId w:val="9"/>
        </w:numPr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W myśl art. 26 ust. </w:t>
      </w:r>
      <w:r w:rsidRPr="002F37A0">
        <w:rPr>
          <w:rStyle w:val="alb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3 </w:t>
      </w:r>
      <w:r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ustawy 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z dnia 23 maja 1991 r. </w:t>
      </w:r>
      <w:r w:rsidRPr="002F37A0">
        <w:rPr>
          <w:rFonts w:ascii="Microsoft Sans Serif" w:eastAsia="Meiryo" w:hAnsi="Microsoft Sans Serif" w:cs="Microsoft Sans Serif"/>
          <w:bCs/>
          <w:i/>
          <w:sz w:val="20"/>
          <w:szCs w:val="20"/>
          <w:lang w:eastAsia="pl-PL"/>
        </w:rPr>
        <w:t>o rozwiązywaniu sporów zbiorowych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(tekst jedn. Dz.U. z 2019 r. poz. 174 z późn.zm.) – dalej </w:t>
      </w:r>
      <w:proofErr w:type="spellStart"/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.,</w:t>
      </w:r>
      <w:r w:rsidRPr="002F37A0">
        <w:rPr>
          <w:rStyle w:val="alb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 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odpowiedzialność cywilną za szkody wyrządzone 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u w:val="single"/>
          <w:shd w:val="clear" w:color="auto" w:fill="FFFFFF"/>
        </w:rPr>
        <w:t>nielegalnym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u w:val="single"/>
          <w:shd w:val="clear" w:color="auto" w:fill="FFFFFF"/>
        </w:rPr>
        <w:t>strajkiem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 xml:space="preserve">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lub inną nielegalną akcją protestacyjną - 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>ponosi jedynie organizator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. </w:t>
      </w:r>
    </w:p>
    <w:p w:rsidR="002F37A0" w:rsidRP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2F37A0" w:rsidRDefault="00CE72F7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Sąd Najwyższy 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stwierdził, że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odpowiedzialność na zasadach określonych w Kodeksie cywilnym ponosi wyłącznie organizator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u w:val="single"/>
          <w:shd w:val="clear" w:color="auto" w:fill="FFFFFF"/>
        </w:rPr>
        <w:t>nielegalnego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 strajku lub akcji protestacyjnej</w:t>
      </w:r>
      <w:r w:rsidRPr="002F37A0">
        <w:rPr>
          <w:rStyle w:val="Odwoanieprzypisudolnego"/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footnoteReference w:id="6"/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.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2F37A0" w:rsidRDefault="00CE72F7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Sąd Najwyższy podniósł, że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organizatorzy i uczestnicy legalnej akcji strajkowej są objęci immunitetem zwalniającym ich od odpowiedzialności cywilnej.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Zdaniem Sądu Najwyższego ustawa </w:t>
      </w:r>
      <w:r w:rsidRPr="002F37A0">
        <w:rPr>
          <w:rFonts w:ascii="Microsoft Sans Serif" w:eastAsia="Meiryo" w:hAnsi="Microsoft Sans Serif" w:cs="Microsoft Sans Serif"/>
          <w:b/>
          <w:i/>
          <w:sz w:val="20"/>
          <w:szCs w:val="20"/>
          <w:shd w:val="clear" w:color="auto" w:fill="FFFFFF"/>
        </w:rPr>
        <w:t>o rozwiązywaniu sporów zbiorowych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 nie reguluje odpowiedzialności cywil</w:t>
      </w:r>
      <w:r w:rsidR="004A4929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nej innych uczestników strajku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- poza organizatorami </w:t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u w:val="single"/>
          <w:shd w:val="clear" w:color="auto" w:fill="FFFFFF"/>
        </w:rPr>
        <w:t>nielegalnego strajku</w:t>
      </w:r>
      <w:r w:rsidRPr="002F37A0">
        <w:rPr>
          <w:rStyle w:val="Odwoanieprzypisudolnego"/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footnoteReference w:id="7"/>
      </w: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.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</w:pPr>
    </w:p>
    <w:p w:rsidR="002F37A0" w:rsidRDefault="003F0DDF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Zatem o</w:t>
      </w:r>
      <w:r w:rsidR="00103109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dpowiedzialność cywilna organizatora strajku </w:t>
      </w:r>
      <w:r w:rsidR="00980B9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w ogóle </w:t>
      </w:r>
      <w:r w:rsidR="00103109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nie występuje w przypadku </w:t>
      </w: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zorganizowania </w:t>
      </w:r>
      <w:r w:rsidR="00103109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legalnego strajku.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</w:p>
    <w:p w:rsidR="002F37A0" w:rsidRDefault="008C2CEA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>Natomiast</w:t>
      </w:r>
      <w:r w:rsidR="0069313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zgodnie z treścią art. 26 ust. </w:t>
      </w:r>
      <w:r w:rsidR="00693138" w:rsidRPr="002F37A0">
        <w:rPr>
          <w:rStyle w:val="alb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3 </w:t>
      </w:r>
      <w:proofErr w:type="spellStart"/>
      <w:r w:rsidR="00693138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693138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.</w:t>
      </w:r>
      <w:r w:rsidR="00693138" w:rsidRPr="002F37A0">
        <w:rPr>
          <w:rStyle w:val="alb"/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</w:t>
      </w:r>
      <w:r w:rsidR="0069313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pracownicy </w:t>
      </w:r>
      <w:r w:rsidR="0030172C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(nauczyciele) </w:t>
      </w:r>
      <w:r w:rsidR="0069313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biorący udział w strajku </w:t>
      </w:r>
      <w:r w:rsidR="00693138"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 xml:space="preserve">nie ponoszą </w:t>
      </w:r>
      <w:r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 xml:space="preserve">żadnej </w:t>
      </w:r>
      <w:r w:rsidR="00693138"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shd w:val="clear" w:color="auto" w:fill="FFFFFF"/>
        </w:rPr>
        <w:t>odpowiedzialności cywilnej</w:t>
      </w:r>
      <w:r w:rsidR="0069313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za szkody wyrządzone </w:t>
      </w:r>
      <w:r w:rsidR="00693138" w:rsidRPr="002F37A0">
        <w:rPr>
          <w:rFonts w:ascii="Microsoft Sans Serif" w:eastAsia="Meiryo" w:hAnsi="Microsoft Sans Serif" w:cs="Microsoft Sans Serif"/>
          <w:b/>
          <w:color w:val="333333"/>
          <w:sz w:val="20"/>
          <w:szCs w:val="20"/>
          <w:u w:val="single"/>
          <w:shd w:val="clear" w:color="auto" w:fill="FFFFFF"/>
        </w:rPr>
        <w:t>nielegalnym</w:t>
      </w:r>
      <w:r w:rsidR="00693138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strajkiem lub inną nielegalną akcją protestacyjną.</w:t>
      </w:r>
      <w:r w:rsidR="003F0DDF" w:rsidRPr="002F37A0"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  <w:t xml:space="preserve"> Taka odpowiedzialność nie występuje nigdy.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color w:val="333333"/>
          <w:sz w:val="20"/>
          <w:szCs w:val="20"/>
          <w:shd w:val="clear" w:color="auto" w:fill="FFFFFF"/>
        </w:rPr>
      </w:pPr>
    </w:p>
    <w:p w:rsidR="002F37A0" w:rsidRDefault="0030172C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</w:rPr>
        <w:t>Pracownicy (n</w:t>
      </w:r>
      <w:r w:rsidR="00F0457B" w:rsidRPr="002F37A0">
        <w:rPr>
          <w:rFonts w:ascii="Microsoft Sans Serif" w:eastAsia="Meiryo" w:hAnsi="Microsoft Sans Serif" w:cs="Microsoft Sans Serif"/>
          <w:sz w:val="20"/>
          <w:szCs w:val="20"/>
        </w:rPr>
        <w:t>auczyciele</w:t>
      </w:r>
      <w:r w:rsidRPr="002F37A0">
        <w:rPr>
          <w:rFonts w:ascii="Microsoft Sans Serif" w:eastAsia="Meiryo" w:hAnsi="Microsoft Sans Serif" w:cs="Microsoft Sans Serif"/>
          <w:sz w:val="20"/>
          <w:szCs w:val="20"/>
        </w:rPr>
        <w:t>)</w:t>
      </w:r>
      <w:r w:rsidR="00F0457B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biorący udział w legalnym strajku</w:t>
      </w:r>
      <w:r w:rsidR="00F0457B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 nie ponoszą</w:t>
      </w:r>
      <w:r w:rsidR="00BD0397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 nawet</w:t>
      </w:r>
      <w:r w:rsidR="00F0457B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 odpowiedzialności </w:t>
      </w:r>
      <w:r w:rsidR="00BD0397" w:rsidRPr="002F37A0">
        <w:rPr>
          <w:rFonts w:ascii="Microsoft Sans Serif" w:eastAsia="Meiryo" w:hAnsi="Microsoft Sans Serif" w:cs="Microsoft Sans Serif"/>
          <w:b/>
          <w:sz w:val="20"/>
          <w:szCs w:val="20"/>
        </w:rPr>
        <w:t>pracowniczej</w:t>
      </w:r>
      <w:r w:rsidR="00BD0397" w:rsidRPr="002F37A0">
        <w:rPr>
          <w:rFonts w:ascii="Microsoft Sans Serif" w:eastAsia="Meiryo" w:hAnsi="Microsoft Sans Serif" w:cs="Microsoft Sans Serif"/>
          <w:sz w:val="20"/>
          <w:szCs w:val="20"/>
        </w:rPr>
        <w:t>, gdyż zgodnie z treścią</w:t>
      </w:r>
      <w:r w:rsidR="00BD0397" w:rsidRPr="002F37A0">
        <w:rPr>
          <w:rFonts w:ascii="Microsoft Sans Serif" w:eastAsia="Meiryo" w:hAnsi="Microsoft Sans Serif" w:cs="Microsoft Sans Serif"/>
          <w:b/>
          <w:sz w:val="20"/>
          <w:szCs w:val="20"/>
        </w:rPr>
        <w:t xml:space="preserve"> </w:t>
      </w:r>
      <w:hyperlink r:id="rId9" w:anchor="/document/16794197?unitId=art(23)ust(1)&amp;cm=DOCUMENT" w:history="1">
        <w:r w:rsidR="00BD0397" w:rsidRPr="002F37A0">
          <w:rPr>
            <w:rStyle w:val="Hipercze"/>
            <w:rFonts w:ascii="Microsoft Sans Serif" w:eastAsia="Meiryo" w:hAnsi="Microsoft Sans Serif" w:cs="Microsoft Sans Serif"/>
            <w:color w:val="auto"/>
            <w:sz w:val="20"/>
            <w:szCs w:val="20"/>
            <w:u w:val="none"/>
            <w:shd w:val="clear" w:color="auto" w:fill="FFFFFF"/>
          </w:rPr>
          <w:t>art. 23 ust. 1</w:t>
        </w:r>
      </w:hyperlink>
      <w:r w:rsidR="00BD039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 </w:t>
      </w:r>
      <w:r w:rsidR="00BD0397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proofErr w:type="spellStart"/>
      <w:r w:rsidR="00294286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294286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., </w:t>
      </w:r>
      <w:r w:rsidR="00BD039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udział w legalnym strajku nie stanowi naru</w:t>
      </w:r>
      <w:r w:rsidR="00294286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szenia obowiązków pracowniczych</w:t>
      </w:r>
      <w:r w:rsidR="00BD039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</w:rPr>
      </w:pPr>
    </w:p>
    <w:p w:rsidR="002F37A0" w:rsidRDefault="00E7463A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lang w:eastAsia="pl-PL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Zatem </w:t>
      </w:r>
      <w:r w:rsidR="00656E82" w:rsidRPr="002F37A0">
        <w:rPr>
          <w:rFonts w:ascii="Microsoft Sans Serif" w:eastAsia="Meiryo" w:hAnsi="Microsoft Sans Serif" w:cs="Microsoft Sans Serif"/>
          <w:sz w:val="20"/>
          <w:szCs w:val="20"/>
        </w:rPr>
        <w:t>sugestie</w:t>
      </w:r>
      <w:r w:rsidR="00F560B3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dotyczące </w:t>
      </w:r>
      <w:r w:rsidR="004D683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możliwości </w:t>
      </w:r>
      <w:r w:rsidR="00F560B3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pociągania do odpowiedzialności cywilnej nauczycieli biorących udział w legalnym strajku </w:t>
      </w:r>
      <w:r w:rsidR="00656E82" w:rsidRPr="002F37A0">
        <w:rPr>
          <w:rFonts w:ascii="Microsoft Sans Serif" w:eastAsia="Meiryo" w:hAnsi="Microsoft Sans Serif" w:cs="Microsoft Sans Serif"/>
          <w:sz w:val="20"/>
          <w:szCs w:val="20"/>
        </w:rPr>
        <w:t>należy potraktować jako</w:t>
      </w:r>
      <w:r w:rsidR="00B23D26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</w:t>
      </w:r>
      <w:r w:rsidR="002E4273" w:rsidRPr="002F37A0">
        <w:rPr>
          <w:rFonts w:ascii="Microsoft Sans Serif" w:eastAsia="Meiryo" w:hAnsi="Microsoft Sans Serif" w:cs="Microsoft Sans Serif"/>
          <w:sz w:val="20"/>
          <w:szCs w:val="20"/>
        </w:rPr>
        <w:t>próbę wywierania</w:t>
      </w:r>
      <w:r w:rsidR="004D683C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na nich</w:t>
      </w:r>
      <w:r w:rsidR="00B23D26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</w:t>
      </w:r>
      <w:r w:rsidR="00BA3441" w:rsidRPr="002F37A0">
        <w:rPr>
          <w:rFonts w:ascii="Microsoft Sans Serif" w:eastAsia="Meiryo" w:hAnsi="Microsoft Sans Serif" w:cs="Microsoft Sans Serif"/>
          <w:b/>
          <w:sz w:val="20"/>
          <w:szCs w:val="20"/>
        </w:rPr>
        <w:t>bezprawnej presji</w:t>
      </w:r>
      <w:r w:rsidR="00BA344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, </w:t>
      </w:r>
      <w:r w:rsidR="004653D9" w:rsidRPr="002F37A0">
        <w:rPr>
          <w:rFonts w:ascii="Microsoft Sans Serif" w:eastAsia="Meiryo" w:hAnsi="Microsoft Sans Serif" w:cs="Microsoft Sans Serif"/>
          <w:sz w:val="20"/>
          <w:szCs w:val="20"/>
        </w:rPr>
        <w:t>naruszającej</w:t>
      </w:r>
      <w:r w:rsidR="00BA344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 podstawową zasadę dobrowolności udział</w:t>
      </w:r>
      <w:r w:rsidR="002E4273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u w akcji strajkowej, </w:t>
      </w:r>
      <w:r w:rsidR="008D320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którą zapisano </w:t>
      </w:r>
      <w:r w:rsidR="00BA344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w </w:t>
      </w:r>
      <w:r w:rsidR="008D320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treści </w:t>
      </w:r>
      <w:r w:rsidR="00BA3441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art. </w:t>
      </w:r>
      <w:r w:rsidR="008700A0" w:rsidRPr="002F37A0">
        <w:rPr>
          <w:rFonts w:ascii="Microsoft Sans Serif" w:eastAsia="Meiryo" w:hAnsi="Microsoft Sans Serif" w:cs="Microsoft Sans Serif"/>
          <w:sz w:val="20"/>
          <w:szCs w:val="20"/>
        </w:rPr>
        <w:t xml:space="preserve">18 </w:t>
      </w:r>
      <w:proofErr w:type="spellStart"/>
      <w:r w:rsidR="008700A0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8700A0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.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lang w:eastAsia="pl-PL"/>
        </w:rPr>
      </w:pPr>
    </w:p>
    <w:p w:rsidR="002F37A0" w:rsidRDefault="00046C6A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W</w:t>
      </w:r>
      <w:r w:rsidR="0036752E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związku z tym w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prowadzanie do obrotu medialnego informacji o rzekomej odpowiedzialności cywilnej nauczycieli biorących udział w strajku 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należy zakwalifikować jako </w:t>
      </w:r>
      <w:r w:rsidR="00361344" w:rsidRPr="002F37A0">
        <w:rPr>
          <w:rFonts w:ascii="Microsoft Sans Serif" w:eastAsia="Meiryo" w:hAnsi="Microsoft Sans Serif" w:cs="Microsoft Sans Serif"/>
          <w:b/>
          <w:sz w:val="20"/>
          <w:szCs w:val="20"/>
          <w:lang w:eastAsia="pl-PL"/>
        </w:rPr>
        <w:t>przeszkadzanie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r w:rsidR="00361344" w:rsidRPr="002F37A0">
        <w:rPr>
          <w:rFonts w:ascii="Microsoft Sans Serif" w:eastAsia="Meiryo" w:hAnsi="Microsoft Sans Serif" w:cs="Microsoft Sans Serif"/>
          <w:b/>
          <w:sz w:val="20"/>
          <w:szCs w:val="20"/>
          <w:lang w:eastAsia="pl-PL"/>
        </w:rPr>
        <w:t>we wszczęciu lub w prowadzeniu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r w:rsidR="00361344" w:rsidRPr="002F37A0">
        <w:rPr>
          <w:rFonts w:ascii="Microsoft Sans Serif" w:eastAsia="Meiryo" w:hAnsi="Microsoft Sans Serif" w:cs="Microsoft Sans Serif"/>
          <w:b/>
          <w:sz w:val="20"/>
          <w:szCs w:val="20"/>
          <w:lang w:eastAsia="pl-PL"/>
        </w:rPr>
        <w:t>sporu zbiorowego</w:t>
      </w:r>
      <w:r w:rsidR="00622C0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, a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w</w:t>
      </w:r>
      <w:r w:rsidR="00622C0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ięc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r w:rsidR="002E427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działanie wy</w:t>
      </w:r>
      <w:r w:rsidR="00361344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pełniające dyspozycję </w:t>
      </w:r>
      <w:r w:rsidR="00622C0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art. 26 ust. 1 pkt 1 </w:t>
      </w:r>
      <w:proofErr w:type="spellStart"/>
      <w:r w:rsidR="00622C0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622C0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. </w:t>
      </w:r>
      <w:r w:rsidR="0036752E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</w:p>
    <w:p w:rsidR="002F37A0" w:rsidRDefault="002F37A0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622C05" w:rsidRPr="002F37A0" w:rsidRDefault="00C23D4A" w:rsidP="002F37A0">
      <w:pPr>
        <w:pStyle w:val="Akapitzlist"/>
        <w:spacing w:after="0" w:line="276" w:lineRule="auto"/>
        <w:ind w:left="426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P</w:t>
      </w:r>
      <w:r w:rsidR="0036752E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odlega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ono</w:t>
      </w:r>
      <w:r w:rsidR="0036752E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</w:t>
      </w:r>
      <w:r w:rsidR="002E427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w konsekwencji </w:t>
      </w:r>
      <w:r w:rsidR="001909F0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odpowiedzialności karnej</w:t>
      </w:r>
      <w:r w:rsidR="001909F0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, tj. </w:t>
      </w:r>
      <w:r w:rsidR="00DC227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karze </w:t>
      </w:r>
      <w:r w:rsidR="002E427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grzywny</w:t>
      </w:r>
      <w:r w:rsidR="00622C0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albo karze ograniczenia wolności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(art. 26 ust. 1 pkt 1 </w:t>
      </w:r>
      <w:proofErr w:type="spellStart"/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622C0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).</w:t>
      </w:r>
    </w:p>
    <w:p w:rsidR="000679C5" w:rsidRPr="002F37A0" w:rsidRDefault="000679C5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</w:p>
    <w:p w:rsidR="00CD76C1" w:rsidRPr="002F37A0" w:rsidRDefault="00CD76C1" w:rsidP="002F37A0">
      <w:pPr>
        <w:pStyle w:val="Akapitzlist"/>
        <w:numPr>
          <w:ilvl w:val="0"/>
          <w:numId w:val="9"/>
        </w:numPr>
        <w:shd w:val="clear" w:color="auto" w:fill="FFFFFF"/>
        <w:spacing w:after="120" w:line="276" w:lineRule="auto"/>
        <w:ind w:left="425" w:hanging="357"/>
        <w:contextualSpacing w:val="0"/>
        <w:jc w:val="both"/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Reasumpcja:</w:t>
      </w:r>
    </w:p>
    <w:p w:rsidR="00B27234" w:rsidRPr="002F37A0" w:rsidRDefault="00CD76C1" w:rsidP="002F37A0">
      <w:pPr>
        <w:pStyle w:val="Akapitzlist"/>
        <w:numPr>
          <w:ilvl w:val="0"/>
          <w:numId w:val="6"/>
        </w:numPr>
        <w:spacing w:after="120" w:line="276" w:lineRule="auto"/>
        <w:ind w:left="786"/>
        <w:contextualSpacing w:val="0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A</w:t>
      </w:r>
      <w:r w:rsidR="00DB58D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kcja protestacyjna zorganizowana i przeprowadzona zgodnie z obowiązującymi przepisami o rozwiązywaniu sporów zbiorowych </w:t>
      </w:r>
      <w:r w:rsidR="00DB58D7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wyklucza </w:t>
      </w:r>
      <w:r w:rsidR="00680F47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wszelką </w:t>
      </w:r>
      <w:r w:rsidR="00DB58D7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odpowiedzialność </w:t>
      </w:r>
      <w:r w:rsidR="00B36B4D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 xml:space="preserve">cywilną organizatora </w:t>
      </w:r>
      <w:r w:rsidR="00DB58D7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za zorganizowanie strajku</w:t>
      </w:r>
      <w:r w:rsidR="00F25CF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(</w:t>
      </w:r>
      <w:r w:rsidR="00F25CF1" w:rsidRPr="002F37A0">
        <w:rPr>
          <w:rFonts w:ascii="Microsoft Sans Serif" w:eastAsia="Meiryo" w:hAnsi="Microsoft Sans Serif" w:cs="Microsoft Sans Serif"/>
          <w:i/>
          <w:sz w:val="20"/>
          <w:szCs w:val="20"/>
          <w:shd w:val="clear" w:color="auto" w:fill="FFFFFF"/>
        </w:rPr>
        <w:t xml:space="preserve">a </w:t>
      </w:r>
      <w:proofErr w:type="spellStart"/>
      <w:r w:rsidR="00F25CF1" w:rsidRPr="002F37A0">
        <w:rPr>
          <w:rFonts w:ascii="Microsoft Sans Serif" w:eastAsia="Meiryo" w:hAnsi="Microsoft Sans Serif" w:cs="Microsoft Sans Serif"/>
          <w:i/>
          <w:sz w:val="20"/>
          <w:szCs w:val="20"/>
          <w:shd w:val="clear" w:color="auto" w:fill="FFFFFF"/>
        </w:rPr>
        <w:t>contratio</w:t>
      </w:r>
      <w:proofErr w:type="spellEnd"/>
      <w:r w:rsidR="00F25CF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5C0AC0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- </w:t>
      </w:r>
      <w:r w:rsidR="00F25CF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art. 26 ust. 3 </w:t>
      </w:r>
      <w:proofErr w:type="spellStart"/>
      <w:r w:rsidR="00F25CF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u.r.s.z</w:t>
      </w:r>
      <w:proofErr w:type="spellEnd"/>
      <w:r w:rsidR="00F25CF1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.).</w:t>
      </w:r>
      <w:r w:rsidR="00DB58D7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 </w:t>
      </w:r>
    </w:p>
    <w:p w:rsidR="00B27234" w:rsidRPr="002F37A0" w:rsidRDefault="00680F47" w:rsidP="002F37A0">
      <w:pPr>
        <w:pStyle w:val="Akapitzlist"/>
        <w:numPr>
          <w:ilvl w:val="0"/>
          <w:numId w:val="6"/>
        </w:numPr>
        <w:spacing w:after="120" w:line="276" w:lineRule="auto"/>
        <w:ind w:left="786"/>
        <w:contextualSpacing w:val="0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Niezależnie od kwestii legalności </w:t>
      </w:r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strajku uczestnicy strajku</w:t>
      </w:r>
      <w:r w:rsidR="000023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będący pracownikami, </w:t>
      </w:r>
      <w:r w:rsidR="00002313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nie ponoszą żadnej odpowiedzialności cywilnej z tego tytułu</w:t>
      </w:r>
      <w:r w:rsidR="000023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, ponieważ ustawa </w:t>
      </w:r>
      <w:r w:rsidR="00002313" w:rsidRPr="002F37A0">
        <w:rPr>
          <w:rFonts w:ascii="Microsoft Sans Serif" w:eastAsia="Meiryo" w:hAnsi="Microsoft Sans Serif" w:cs="Microsoft Sans Serif"/>
          <w:i/>
          <w:sz w:val="20"/>
          <w:szCs w:val="20"/>
          <w:shd w:val="clear" w:color="auto" w:fill="FFFFFF"/>
        </w:rPr>
        <w:t>o sporach zbiorowych</w:t>
      </w:r>
      <w:r w:rsidR="000023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nie przewiduje </w:t>
      </w:r>
      <w:r w:rsidR="00B27234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w ogóle </w:t>
      </w:r>
      <w:r w:rsidR="004A4929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takiej odpowiedzialności (art. 26 ust. 3 </w:t>
      </w:r>
      <w:proofErr w:type="spellStart"/>
      <w:r w:rsidR="004A4929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u.r.s.z</w:t>
      </w:r>
      <w:proofErr w:type="spellEnd"/>
      <w:r w:rsidR="004A4929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.). </w:t>
      </w:r>
    </w:p>
    <w:p w:rsidR="00B27234" w:rsidRPr="002F37A0" w:rsidRDefault="008B4FE3" w:rsidP="002F37A0">
      <w:pPr>
        <w:pStyle w:val="Akapitzlist"/>
        <w:numPr>
          <w:ilvl w:val="0"/>
          <w:numId w:val="6"/>
        </w:numPr>
        <w:spacing w:after="120" w:line="276" w:lineRule="auto"/>
        <w:ind w:left="786"/>
        <w:contextualSpacing w:val="0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</w:t>
      </w:r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dział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nauczycieli </w:t>
      </w:r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w strajku legalnym </w:t>
      </w:r>
      <w:r w:rsidR="00076F13" w:rsidRPr="002F37A0">
        <w:rPr>
          <w:rFonts w:ascii="Microsoft Sans Serif" w:eastAsia="Meiryo" w:hAnsi="Microsoft Sans Serif" w:cs="Microsoft Sans Serif"/>
          <w:b/>
          <w:sz w:val="20"/>
          <w:szCs w:val="20"/>
          <w:shd w:val="clear" w:color="auto" w:fill="FFFFFF"/>
        </w:rPr>
        <w:t>nie stanowi naruszenia obowiązków pracowniczych</w:t>
      </w:r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(</w:t>
      </w:r>
      <w:hyperlink r:id="rId10" w:anchor="/document/16794197?unitId=art(23)ust(1)&amp;cm=DOCUMENT" w:history="1">
        <w:r w:rsidR="00076F13" w:rsidRPr="002F37A0">
          <w:rPr>
            <w:rStyle w:val="Hipercze"/>
            <w:rFonts w:ascii="Microsoft Sans Serif" w:eastAsia="Meiryo" w:hAnsi="Microsoft Sans Serif" w:cs="Microsoft Sans Serif"/>
            <w:color w:val="auto"/>
            <w:sz w:val="20"/>
            <w:szCs w:val="20"/>
            <w:u w:val="none"/>
            <w:shd w:val="clear" w:color="auto" w:fill="FFFFFF"/>
          </w:rPr>
          <w:t>art. 23 ust. 1</w:t>
        </w:r>
      </w:hyperlink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 </w:t>
      </w:r>
      <w:proofErr w:type="spellStart"/>
      <w:r w:rsidR="00076F1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076F13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.</w:t>
      </w:r>
      <w:r w:rsidR="00076F13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).</w:t>
      </w:r>
    </w:p>
    <w:p w:rsidR="00794925" w:rsidRPr="002F37A0" w:rsidRDefault="00145F5A" w:rsidP="002F37A0">
      <w:pPr>
        <w:pStyle w:val="Akapitzlist"/>
        <w:numPr>
          <w:ilvl w:val="0"/>
          <w:numId w:val="6"/>
        </w:numPr>
        <w:spacing w:after="120" w:line="276" w:lineRule="auto"/>
        <w:ind w:left="786"/>
        <w:contextualSpacing w:val="0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Udział nauczycieli w strajku opiera się o zasadę dobrowolności, a więc decyzja o udziale w strajku musi</w:t>
      </w:r>
      <w:r w:rsidR="0079492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być suwerenna i nieprzymuszona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 </w:t>
      </w:r>
      <w:r w:rsidR="0079492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(art. 18 </w:t>
      </w:r>
      <w:proofErr w:type="spellStart"/>
      <w:r w:rsidR="0079492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="00794925"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.)</w:t>
      </w:r>
      <w:r w:rsidR="0079492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</w:p>
    <w:p w:rsidR="00DA22E3" w:rsidRPr="002F37A0" w:rsidRDefault="00145F5A" w:rsidP="002F37A0">
      <w:pPr>
        <w:pStyle w:val="Akapitzlist"/>
        <w:numPr>
          <w:ilvl w:val="0"/>
          <w:numId w:val="6"/>
        </w:numPr>
        <w:spacing w:after="120" w:line="276" w:lineRule="auto"/>
        <w:ind w:left="786"/>
        <w:contextualSpacing w:val="0"/>
        <w:jc w:val="both"/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</w:pP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Wywieranie presji na nauczycieli </w:t>
      </w:r>
      <w:r w:rsidR="00794925"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 xml:space="preserve">odnośnie ich udziału w strajku 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stanowi naruszenie prawa i skutkuje odpowiedzialnością karną</w:t>
      </w:r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 xml:space="preserve"> (art. 26 ust. 1 pkt 1 </w:t>
      </w:r>
      <w:proofErr w:type="spellStart"/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u.r.s.z</w:t>
      </w:r>
      <w:proofErr w:type="spellEnd"/>
      <w:r w:rsidRPr="002F37A0">
        <w:rPr>
          <w:rFonts w:ascii="Microsoft Sans Serif" w:eastAsia="Meiryo" w:hAnsi="Microsoft Sans Serif" w:cs="Microsoft Sans Serif"/>
          <w:sz w:val="20"/>
          <w:szCs w:val="20"/>
          <w:lang w:eastAsia="pl-PL"/>
        </w:rPr>
        <w:t>.)</w:t>
      </w:r>
      <w:r w:rsidRPr="002F37A0">
        <w:rPr>
          <w:rFonts w:ascii="Microsoft Sans Serif" w:eastAsia="Meiryo" w:hAnsi="Microsoft Sans Serif" w:cs="Microsoft Sans Serif"/>
          <w:sz w:val="20"/>
          <w:szCs w:val="20"/>
          <w:shd w:val="clear" w:color="auto" w:fill="FFFFFF"/>
        </w:rPr>
        <w:t>.</w:t>
      </w:r>
    </w:p>
    <w:p w:rsidR="00911507" w:rsidRPr="002F37A0" w:rsidRDefault="00911507" w:rsidP="002F37A0">
      <w:pPr>
        <w:spacing w:after="120" w:line="276" w:lineRule="auto"/>
        <w:ind w:left="219"/>
        <w:jc w:val="both"/>
        <w:rPr>
          <w:rFonts w:ascii="Microsoft Sans Serif" w:eastAsia="Meiryo" w:hAnsi="Microsoft Sans Serif" w:cs="Microsoft Sans Serif"/>
          <w:sz w:val="16"/>
          <w:szCs w:val="16"/>
          <w:shd w:val="clear" w:color="auto" w:fill="FFFFFF"/>
        </w:rPr>
      </w:pPr>
    </w:p>
    <w:p w:rsidR="003B5B70" w:rsidRPr="002F37A0" w:rsidRDefault="003B5B70" w:rsidP="002F37A0">
      <w:pPr>
        <w:spacing w:after="0" w:line="276" w:lineRule="auto"/>
        <w:ind w:left="219"/>
        <w:jc w:val="both"/>
        <w:rPr>
          <w:rFonts w:ascii="Microsoft Sans Serif" w:eastAsia="Meiryo" w:hAnsi="Microsoft Sans Serif" w:cs="Microsoft Sans Serif"/>
          <w:sz w:val="16"/>
          <w:szCs w:val="16"/>
        </w:rPr>
      </w:pPr>
    </w:p>
    <w:p w:rsidR="00F92964" w:rsidRPr="002F37A0" w:rsidRDefault="00F92964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16"/>
          <w:szCs w:val="16"/>
        </w:rPr>
      </w:pPr>
    </w:p>
    <w:p w:rsidR="001200DC" w:rsidRPr="002F37A0" w:rsidRDefault="001200DC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16"/>
          <w:szCs w:val="16"/>
        </w:rPr>
      </w:pPr>
    </w:p>
    <w:p w:rsidR="001200DC" w:rsidRPr="002F37A0" w:rsidRDefault="001200DC" w:rsidP="00165D6D">
      <w:pPr>
        <w:spacing w:after="0" w:line="276" w:lineRule="auto"/>
        <w:jc w:val="both"/>
        <w:rPr>
          <w:rFonts w:ascii="Microsoft Sans Serif" w:eastAsia="Meiryo" w:hAnsi="Microsoft Sans Serif" w:cs="Microsoft Sans Serif"/>
          <w:sz w:val="16"/>
          <w:szCs w:val="16"/>
        </w:rPr>
      </w:pPr>
      <w:r w:rsidRPr="002F37A0">
        <w:rPr>
          <w:rFonts w:ascii="Microsoft Sans Serif" w:eastAsia="Meiryo" w:hAnsi="Microsoft Sans Serif" w:cs="Microsoft Sans Serif"/>
          <w:sz w:val="16"/>
          <w:szCs w:val="16"/>
        </w:rPr>
        <w:t>Opinię sporządził: Krzysztof Lisowski</w:t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  <w:r w:rsidRPr="002F37A0">
        <w:rPr>
          <w:rFonts w:ascii="Microsoft Sans Serif" w:eastAsia="Meiryo" w:hAnsi="Microsoft Sans Serif" w:cs="Microsoft Sans Serif"/>
          <w:sz w:val="16"/>
          <w:szCs w:val="16"/>
        </w:rPr>
        <w:tab/>
      </w:r>
    </w:p>
    <w:sectPr w:rsidR="001200DC" w:rsidRPr="002F37A0" w:rsidSect="00955FE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E95" w:rsidRDefault="00121E95" w:rsidP="00A40DB4">
      <w:pPr>
        <w:spacing w:after="0" w:line="240" w:lineRule="auto"/>
      </w:pPr>
      <w:r>
        <w:separator/>
      </w:r>
    </w:p>
  </w:endnote>
  <w:endnote w:type="continuationSeparator" w:id="0">
    <w:p w:rsidR="00121E95" w:rsidRDefault="00121E95" w:rsidP="00A4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E95" w:rsidRDefault="00121E95" w:rsidP="00A40DB4">
      <w:pPr>
        <w:spacing w:after="0" w:line="240" w:lineRule="auto"/>
      </w:pPr>
      <w:r>
        <w:separator/>
      </w:r>
    </w:p>
  </w:footnote>
  <w:footnote w:type="continuationSeparator" w:id="0">
    <w:p w:rsidR="00121E95" w:rsidRDefault="00121E95" w:rsidP="00A40DB4">
      <w:pPr>
        <w:spacing w:after="0" w:line="240" w:lineRule="auto"/>
      </w:pPr>
      <w:r>
        <w:continuationSeparator/>
      </w:r>
    </w:p>
  </w:footnote>
  <w:footnote w:id="1">
    <w:p w:rsidR="00257D11" w:rsidRPr="00044980" w:rsidRDefault="00257D11" w:rsidP="00257D11">
      <w:pPr>
        <w:pStyle w:val="Tekstprzypisudolnego"/>
        <w:jc w:val="both"/>
        <w:rPr>
          <w:rFonts w:asciiTheme="majorHAnsi" w:eastAsia="Meiryo" w:hAnsiTheme="majorHAnsi" w:cs="Meiryo"/>
          <w:sz w:val="16"/>
          <w:szCs w:val="16"/>
        </w:rPr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 </w:t>
      </w:r>
      <w:hyperlink r:id="rId1" w:anchor="/commentary/587259732/527101/nowicki-marek-antoni-komentarz-do-konwencji-o-ochronie-praw-czlowieka-i-podstawowych-wolnosci-w...?cm=URELATIONS" w:history="1">
        <w:r w:rsidRPr="00044980">
          <w:rPr>
            <w:rFonts w:asciiTheme="majorHAnsi" w:eastAsia="Meiryo" w:hAnsiTheme="majorHAnsi" w:cs="Meiryo"/>
            <w:bCs/>
            <w:color w:val="1B1B1B"/>
            <w:sz w:val="16"/>
            <w:szCs w:val="16"/>
          </w:rPr>
          <w:t>Nowicki Marek Antoni, Komentarz do Konwencji o ochronie praw człowieka i podstawowych wolności, [w:] Wokół Konwencji Europejskiej. Komentarz do Europejskiej Konwencji Praw Człowieka, wyd. VII</w:t>
        </w:r>
      </w:hyperlink>
      <w:r w:rsidRPr="00044980">
        <w:rPr>
          <w:rFonts w:asciiTheme="majorHAnsi" w:eastAsia="Meiryo" w:hAnsiTheme="majorHAnsi" w:cs="Meiryo"/>
          <w:color w:val="333333"/>
          <w:sz w:val="16"/>
          <w:szCs w:val="16"/>
        </w:rPr>
        <w:t xml:space="preserve">, </w:t>
      </w:r>
      <w:r w:rsidRPr="003A53C3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WKP 2017</w:t>
      </w:r>
    </w:p>
  </w:footnote>
  <w:footnote w:id="2">
    <w:p w:rsidR="00340474" w:rsidRPr="00044980" w:rsidRDefault="00340474" w:rsidP="00340474">
      <w:pPr>
        <w:pStyle w:val="Tekstprzypisudolnego"/>
        <w:jc w:val="both"/>
        <w:rPr>
          <w:rFonts w:asciiTheme="majorHAnsi" w:eastAsia="Meiryo" w:hAnsiTheme="majorHAnsi" w:cs="Meiryo"/>
          <w:sz w:val="16"/>
          <w:szCs w:val="16"/>
        </w:rPr>
      </w:pPr>
      <w:r w:rsidRPr="0004498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44980">
        <w:rPr>
          <w:rFonts w:asciiTheme="majorHAnsi" w:hAnsiTheme="majorHAnsi"/>
          <w:sz w:val="16"/>
          <w:szCs w:val="16"/>
        </w:rPr>
        <w:t xml:space="preserve"> </w:t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Wyrok </w:t>
      </w:r>
      <w:r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Sądu Najwyższego z 7 lutego 2007 r., </w:t>
      </w:r>
      <w:r w:rsidRPr="00044980">
        <w:rPr>
          <w:rFonts w:asciiTheme="majorHAnsi" w:eastAsia="Meiryo" w:hAnsiTheme="majorHAnsi" w:cs="Meiryo"/>
          <w:bCs/>
          <w:color w:val="333333"/>
          <w:sz w:val="16"/>
          <w:szCs w:val="16"/>
          <w:lang w:eastAsia="pl-PL"/>
        </w:rPr>
        <w:t>I PK 209/06</w:t>
      </w:r>
      <w:r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, OSNP 2008/5-6/65, </w:t>
      </w:r>
      <w:proofErr w:type="spellStart"/>
      <w:r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M.P.Pr</w:t>
      </w:r>
      <w:proofErr w:type="spellEnd"/>
      <w:r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. 2007/8/412, LEX nr 280749</w:t>
      </w:r>
    </w:p>
  </w:footnote>
  <w:footnote w:id="3">
    <w:p w:rsidR="003C731B" w:rsidRPr="00044980" w:rsidRDefault="003C731B" w:rsidP="00152FF0">
      <w:pPr>
        <w:shd w:val="clear" w:color="auto" w:fill="FFFFFF"/>
        <w:spacing w:after="0" w:line="240" w:lineRule="auto"/>
        <w:jc w:val="both"/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 </w:t>
      </w:r>
      <w:r w:rsidR="00961DCC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Wyrok </w:t>
      </w:r>
      <w:r w:rsidR="00961DCC" w:rsidRPr="00961DCC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Sądu Najwyższego</w:t>
      </w:r>
      <w:r w:rsidR="00961DCC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 </w:t>
      </w:r>
      <w:r w:rsidR="00961DCC" w:rsidRPr="00961DCC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z dnia 17 lipca 2009 r.</w:t>
      </w:r>
      <w:r w:rsidR="00961DCC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, </w:t>
      </w:r>
      <w:r w:rsidR="00961DCC" w:rsidRPr="00961DCC">
        <w:rPr>
          <w:rFonts w:asciiTheme="majorHAnsi" w:eastAsia="Meiryo" w:hAnsiTheme="majorHAnsi" w:cs="Meiryo"/>
          <w:bCs/>
          <w:color w:val="333333"/>
          <w:sz w:val="16"/>
          <w:szCs w:val="16"/>
          <w:lang w:eastAsia="pl-PL"/>
        </w:rPr>
        <w:t>I PK 45/09</w:t>
      </w:r>
      <w:r w:rsidR="00961DCC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 LEX nr 607245</w:t>
      </w:r>
    </w:p>
  </w:footnote>
  <w:footnote w:id="4">
    <w:p w:rsidR="00340474" w:rsidRPr="00044980" w:rsidRDefault="00340474" w:rsidP="00152FF0">
      <w:pPr>
        <w:pStyle w:val="Tekstprzypisudolnego"/>
        <w:jc w:val="both"/>
        <w:rPr>
          <w:rFonts w:asciiTheme="majorHAnsi" w:eastAsia="Meiryo" w:hAnsiTheme="majorHAnsi" w:cs="Meiryo"/>
          <w:sz w:val="16"/>
          <w:szCs w:val="16"/>
        </w:rPr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="00BE59F2" w:rsidRPr="00044980">
        <w:rPr>
          <w:rFonts w:asciiTheme="majorHAnsi" w:eastAsia="Meiryo" w:hAnsiTheme="majorHAnsi" w:cs="Meiryo"/>
          <w:sz w:val="16"/>
          <w:szCs w:val="16"/>
        </w:rPr>
        <w:t xml:space="preserve"> Wyrok </w:t>
      </w:r>
      <w:r w:rsidR="00BE59F2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Sądu Najwyższego z 7 lutego 2007 r., </w:t>
      </w:r>
      <w:r w:rsidR="00BE59F2" w:rsidRPr="00044980">
        <w:rPr>
          <w:rFonts w:asciiTheme="majorHAnsi" w:eastAsia="Meiryo" w:hAnsiTheme="majorHAnsi" w:cs="Meiryo"/>
          <w:bCs/>
          <w:color w:val="333333"/>
          <w:sz w:val="16"/>
          <w:szCs w:val="16"/>
          <w:lang w:eastAsia="pl-PL"/>
        </w:rPr>
        <w:t>I PK 209/06</w:t>
      </w:r>
      <w:r w:rsidR="00BE59F2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 xml:space="preserve">, OSNP 2008/5-6/65, </w:t>
      </w:r>
      <w:proofErr w:type="spellStart"/>
      <w:r w:rsidR="00BE59F2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M.P.Pr</w:t>
      </w:r>
      <w:proofErr w:type="spellEnd"/>
      <w:r w:rsidR="00BE59F2" w:rsidRPr="00044980">
        <w:rPr>
          <w:rFonts w:asciiTheme="majorHAnsi" w:eastAsia="Meiryo" w:hAnsiTheme="majorHAnsi" w:cs="Meiryo"/>
          <w:color w:val="333333"/>
          <w:sz w:val="16"/>
          <w:szCs w:val="16"/>
          <w:lang w:eastAsia="pl-PL"/>
        </w:rPr>
        <w:t>. 2007/8/412, LEX nr 280749</w:t>
      </w:r>
    </w:p>
  </w:footnote>
  <w:footnote w:id="5">
    <w:p w:rsidR="00BE59F2" w:rsidRPr="00044980" w:rsidRDefault="00BE59F2" w:rsidP="00152FF0">
      <w:pPr>
        <w:pStyle w:val="Tekstprzypisudolnego"/>
        <w:jc w:val="both"/>
        <w:rPr>
          <w:rFonts w:asciiTheme="majorHAnsi" w:eastAsia="Meiryo" w:hAnsiTheme="majorHAnsi" w:cs="Meiryo"/>
          <w:sz w:val="16"/>
          <w:szCs w:val="16"/>
        </w:rPr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 Ibidem</w:t>
      </w:r>
    </w:p>
  </w:footnote>
  <w:footnote w:id="6">
    <w:p w:rsidR="00CE72F7" w:rsidRPr="00044980" w:rsidRDefault="00CE72F7" w:rsidP="00CE72F7">
      <w:pPr>
        <w:pStyle w:val="Tekstprzypisudolnego"/>
        <w:jc w:val="both"/>
        <w:rPr>
          <w:rFonts w:asciiTheme="majorHAnsi" w:eastAsia="Meiryo" w:hAnsiTheme="majorHAnsi" w:cs="Meiryo"/>
          <w:sz w:val="16"/>
          <w:szCs w:val="16"/>
        </w:rPr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 Wyrok</w:t>
      </w:r>
      <w:r w:rsidRPr="00044980">
        <w:rPr>
          <w:rFonts w:asciiTheme="majorHAnsi" w:eastAsia="Meiryo" w:hAnsiTheme="majorHAnsi" w:cs="Meiryo"/>
          <w:sz w:val="16"/>
          <w:szCs w:val="16"/>
          <w:shd w:val="clear" w:color="auto" w:fill="FFFFFF"/>
        </w:rPr>
        <w:t xml:space="preserve"> Sądu Najwyższego z 24 września 2013 r., III PK 90/12, </w:t>
      </w:r>
      <w:r w:rsidRPr="00044980">
        <w:rPr>
          <w:rFonts w:asciiTheme="majorHAnsi" w:eastAsia="Meiryo" w:hAnsiTheme="majorHAnsi" w:cs="Meiryo"/>
          <w:sz w:val="16"/>
          <w:szCs w:val="16"/>
          <w:lang w:eastAsia="pl-PL"/>
        </w:rPr>
        <w:t xml:space="preserve">OSNP 2014/12/167, </w:t>
      </w:r>
      <w:proofErr w:type="spellStart"/>
      <w:r w:rsidRPr="00044980">
        <w:rPr>
          <w:rFonts w:asciiTheme="majorHAnsi" w:eastAsia="Meiryo" w:hAnsiTheme="majorHAnsi" w:cs="Meiryo"/>
          <w:sz w:val="16"/>
          <w:szCs w:val="16"/>
          <w:lang w:eastAsia="pl-PL"/>
        </w:rPr>
        <w:t>M.P.Pr</w:t>
      </w:r>
      <w:proofErr w:type="spellEnd"/>
      <w:r w:rsidRPr="00044980">
        <w:rPr>
          <w:rFonts w:asciiTheme="majorHAnsi" w:eastAsia="Meiryo" w:hAnsiTheme="majorHAnsi" w:cs="Meiryo"/>
          <w:sz w:val="16"/>
          <w:szCs w:val="16"/>
          <w:lang w:eastAsia="pl-PL"/>
        </w:rPr>
        <w:t>. 2015/2/107, OSP 2015/4/36, LEX nr 1573831</w:t>
      </w:r>
    </w:p>
  </w:footnote>
  <w:footnote w:id="7">
    <w:p w:rsidR="00CE72F7" w:rsidRDefault="00CE72F7" w:rsidP="00CE72F7">
      <w:pPr>
        <w:pStyle w:val="Tekstprzypisudolnego"/>
        <w:jc w:val="both"/>
      </w:pPr>
      <w:r w:rsidRPr="00044980">
        <w:rPr>
          <w:rStyle w:val="Odwoanieprzypisudolnego"/>
          <w:rFonts w:asciiTheme="majorHAnsi" w:eastAsia="Meiryo" w:hAnsiTheme="majorHAnsi" w:cs="Meiryo"/>
          <w:sz w:val="16"/>
          <w:szCs w:val="16"/>
        </w:rPr>
        <w:footnoteRef/>
      </w:r>
      <w:r w:rsidRPr="00044980">
        <w:rPr>
          <w:rFonts w:asciiTheme="majorHAnsi" w:eastAsia="Meiryo" w:hAnsiTheme="majorHAnsi" w:cs="Meiryo"/>
          <w:sz w:val="16"/>
          <w:szCs w:val="16"/>
        </w:rPr>
        <w:t xml:space="preserve"> Ibidem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568E"/>
    <w:multiLevelType w:val="multilevel"/>
    <w:tmpl w:val="80A0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745F1"/>
    <w:multiLevelType w:val="multilevel"/>
    <w:tmpl w:val="FE3A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B71E2"/>
    <w:multiLevelType w:val="hybridMultilevel"/>
    <w:tmpl w:val="62AA9E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50ADE"/>
    <w:multiLevelType w:val="multilevel"/>
    <w:tmpl w:val="25FA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39C6"/>
    <w:multiLevelType w:val="hybridMultilevel"/>
    <w:tmpl w:val="30C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72977"/>
    <w:multiLevelType w:val="hybridMultilevel"/>
    <w:tmpl w:val="10DC4DF4"/>
    <w:lvl w:ilvl="0" w:tplc="1ABE2EA6">
      <w:start w:val="1"/>
      <w:numFmt w:val="decimal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5665"/>
    <w:multiLevelType w:val="multilevel"/>
    <w:tmpl w:val="3F6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2334A"/>
    <w:multiLevelType w:val="hybridMultilevel"/>
    <w:tmpl w:val="F886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07A9A"/>
    <w:multiLevelType w:val="hybridMultilevel"/>
    <w:tmpl w:val="26AE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05"/>
    <w:rsid w:val="00002313"/>
    <w:rsid w:val="0001163A"/>
    <w:rsid w:val="000274C4"/>
    <w:rsid w:val="00044980"/>
    <w:rsid w:val="00046C6A"/>
    <w:rsid w:val="000679C5"/>
    <w:rsid w:val="00076F13"/>
    <w:rsid w:val="00103109"/>
    <w:rsid w:val="00103684"/>
    <w:rsid w:val="001200DC"/>
    <w:rsid w:val="00121E95"/>
    <w:rsid w:val="001262BB"/>
    <w:rsid w:val="00130B82"/>
    <w:rsid w:val="00145F5A"/>
    <w:rsid w:val="00152FF0"/>
    <w:rsid w:val="0015596B"/>
    <w:rsid w:val="00165D6D"/>
    <w:rsid w:val="001909F0"/>
    <w:rsid w:val="001A5348"/>
    <w:rsid w:val="00210860"/>
    <w:rsid w:val="002469C3"/>
    <w:rsid w:val="00257D11"/>
    <w:rsid w:val="00267760"/>
    <w:rsid w:val="00272792"/>
    <w:rsid w:val="00277000"/>
    <w:rsid w:val="00293E00"/>
    <w:rsid w:val="00294286"/>
    <w:rsid w:val="002C21D0"/>
    <w:rsid w:val="002C59B5"/>
    <w:rsid w:val="002E4273"/>
    <w:rsid w:val="002E5516"/>
    <w:rsid w:val="002F37A0"/>
    <w:rsid w:val="002F55D3"/>
    <w:rsid w:val="002F6E69"/>
    <w:rsid w:val="0030172C"/>
    <w:rsid w:val="00305BD3"/>
    <w:rsid w:val="00320639"/>
    <w:rsid w:val="00340474"/>
    <w:rsid w:val="00357D5E"/>
    <w:rsid w:val="00361344"/>
    <w:rsid w:val="0036752E"/>
    <w:rsid w:val="00391FAC"/>
    <w:rsid w:val="003A1B98"/>
    <w:rsid w:val="003A53C3"/>
    <w:rsid w:val="003B5B70"/>
    <w:rsid w:val="003C731B"/>
    <w:rsid w:val="003E5C7A"/>
    <w:rsid w:val="003F0DDF"/>
    <w:rsid w:val="003F1DE5"/>
    <w:rsid w:val="003F25E9"/>
    <w:rsid w:val="003F599F"/>
    <w:rsid w:val="00401B74"/>
    <w:rsid w:val="00453397"/>
    <w:rsid w:val="004653D9"/>
    <w:rsid w:val="004A4929"/>
    <w:rsid w:val="004A6074"/>
    <w:rsid w:val="004D0F40"/>
    <w:rsid w:val="004D683C"/>
    <w:rsid w:val="004F36B0"/>
    <w:rsid w:val="00545E02"/>
    <w:rsid w:val="00546761"/>
    <w:rsid w:val="00560642"/>
    <w:rsid w:val="005C0AC0"/>
    <w:rsid w:val="005E670B"/>
    <w:rsid w:val="00604FEE"/>
    <w:rsid w:val="006131CC"/>
    <w:rsid w:val="0061734D"/>
    <w:rsid w:val="00622C05"/>
    <w:rsid w:val="00656E82"/>
    <w:rsid w:val="00672CE3"/>
    <w:rsid w:val="00680F47"/>
    <w:rsid w:val="00693138"/>
    <w:rsid w:val="006D3E95"/>
    <w:rsid w:val="006E4E5E"/>
    <w:rsid w:val="006E79B2"/>
    <w:rsid w:val="0071085A"/>
    <w:rsid w:val="0071315F"/>
    <w:rsid w:val="00731DE2"/>
    <w:rsid w:val="00732227"/>
    <w:rsid w:val="00732721"/>
    <w:rsid w:val="00785CC6"/>
    <w:rsid w:val="00794925"/>
    <w:rsid w:val="007B48FC"/>
    <w:rsid w:val="007E1850"/>
    <w:rsid w:val="007E3EE7"/>
    <w:rsid w:val="007F2168"/>
    <w:rsid w:val="008052E0"/>
    <w:rsid w:val="00833B05"/>
    <w:rsid w:val="00844651"/>
    <w:rsid w:val="0086313A"/>
    <w:rsid w:val="0086758D"/>
    <w:rsid w:val="008700A0"/>
    <w:rsid w:val="008B4FE3"/>
    <w:rsid w:val="008C2CEA"/>
    <w:rsid w:val="008D3201"/>
    <w:rsid w:val="00911507"/>
    <w:rsid w:val="00913E2D"/>
    <w:rsid w:val="00941D3A"/>
    <w:rsid w:val="00943139"/>
    <w:rsid w:val="00955FE2"/>
    <w:rsid w:val="00961DCC"/>
    <w:rsid w:val="00980B98"/>
    <w:rsid w:val="009E070C"/>
    <w:rsid w:val="009F3B8D"/>
    <w:rsid w:val="009F6E6F"/>
    <w:rsid w:val="009F7E73"/>
    <w:rsid w:val="00A16003"/>
    <w:rsid w:val="00A370DE"/>
    <w:rsid w:val="00A40DB4"/>
    <w:rsid w:val="00A7527F"/>
    <w:rsid w:val="00A90F32"/>
    <w:rsid w:val="00A95896"/>
    <w:rsid w:val="00A969EC"/>
    <w:rsid w:val="00AA2041"/>
    <w:rsid w:val="00B010DB"/>
    <w:rsid w:val="00B23D26"/>
    <w:rsid w:val="00B27234"/>
    <w:rsid w:val="00B36B4D"/>
    <w:rsid w:val="00B43FD0"/>
    <w:rsid w:val="00B60C3C"/>
    <w:rsid w:val="00B90F58"/>
    <w:rsid w:val="00B95820"/>
    <w:rsid w:val="00BA3441"/>
    <w:rsid w:val="00BD0397"/>
    <w:rsid w:val="00BE2C32"/>
    <w:rsid w:val="00BE59F2"/>
    <w:rsid w:val="00C07888"/>
    <w:rsid w:val="00C23D4A"/>
    <w:rsid w:val="00C26C11"/>
    <w:rsid w:val="00C4162C"/>
    <w:rsid w:val="00C50E0F"/>
    <w:rsid w:val="00C70B54"/>
    <w:rsid w:val="00CC71BC"/>
    <w:rsid w:val="00CD76C1"/>
    <w:rsid w:val="00CE10C5"/>
    <w:rsid w:val="00CE72F7"/>
    <w:rsid w:val="00D01743"/>
    <w:rsid w:val="00D33FD2"/>
    <w:rsid w:val="00D725F9"/>
    <w:rsid w:val="00D77B14"/>
    <w:rsid w:val="00D82854"/>
    <w:rsid w:val="00D9085C"/>
    <w:rsid w:val="00DA22E3"/>
    <w:rsid w:val="00DB58D7"/>
    <w:rsid w:val="00DC2275"/>
    <w:rsid w:val="00DC4F0B"/>
    <w:rsid w:val="00DE183F"/>
    <w:rsid w:val="00E2264E"/>
    <w:rsid w:val="00E7463A"/>
    <w:rsid w:val="00E770B9"/>
    <w:rsid w:val="00EA5B09"/>
    <w:rsid w:val="00EF2DA7"/>
    <w:rsid w:val="00F0457B"/>
    <w:rsid w:val="00F25CF1"/>
    <w:rsid w:val="00F560B3"/>
    <w:rsid w:val="00F92964"/>
    <w:rsid w:val="00FD6C0D"/>
    <w:rsid w:val="00FE38A3"/>
    <w:rsid w:val="00FE7C67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C912-D4C3-4595-A949-7354613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00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700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6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9B5"/>
    <w:rPr>
      <w:color w:val="0000FF"/>
      <w:u w:val="single"/>
    </w:rPr>
  </w:style>
  <w:style w:type="character" w:customStyle="1" w:styleId="alb">
    <w:name w:val="a_lb"/>
    <w:basedOn w:val="Domylnaczcionkaakapitu"/>
    <w:rsid w:val="00545E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D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D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F40"/>
    <w:rPr>
      <w:rFonts w:ascii="Segoe UI" w:hAnsi="Segoe UI" w:cs="Segoe UI"/>
      <w:sz w:val="18"/>
      <w:szCs w:val="18"/>
    </w:rPr>
  </w:style>
  <w:style w:type="paragraph" w:customStyle="1" w:styleId="ng-scope">
    <w:name w:val="ng-scope"/>
    <w:basedOn w:val="Normalny"/>
    <w:rsid w:val="003A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6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76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8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29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9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7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75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4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8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9E23-3D3F-4EED-AAB9-0A0BEBEB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Beata Michta</cp:lastModifiedBy>
  <cp:revision>3</cp:revision>
  <cp:lastPrinted>2019-02-28T06:57:00Z</cp:lastPrinted>
  <dcterms:created xsi:type="dcterms:W3CDTF">2019-02-28T09:31:00Z</dcterms:created>
  <dcterms:modified xsi:type="dcterms:W3CDTF">2019-02-28T13:04:00Z</dcterms:modified>
</cp:coreProperties>
</file>